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4C1" w:rsidRDefault="00DD303E" w:rsidP="00DD303E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03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Лекция 3 </w:t>
      </w:r>
      <w:r w:rsidR="007E34C1" w:rsidRPr="00DD303E">
        <w:rPr>
          <w:rFonts w:ascii="Times New Roman" w:hAnsi="Times New Roman" w:cs="Times New Roman"/>
          <w:b/>
          <w:sz w:val="28"/>
          <w:szCs w:val="28"/>
        </w:rPr>
        <w:t>Организационно-правовой  механизм  управления земельными  ресурсами</w:t>
      </w:r>
    </w:p>
    <w:p w:rsidR="00DD303E" w:rsidRPr="00DD303E" w:rsidRDefault="00DD303E" w:rsidP="00DD303E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Организационные системы в отличие от других сложных систем обеспечивают решение большого круга организационных задач. Под организационной структурой системы управления понимают иерархическую соподчиненность органов, вырабатывающих решения по управлению земельными ресурсами.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Организационные системы управления обладают следующими важнейшими свойствами, которые необходимо учитывать при выработке управленческих решений и организации структуры управления: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>1) целостность – устойчивость функционирования организационной системы при ее минимальной структурной сложности и минимально необходимых ресурсах;</w:t>
      </w:r>
      <w:r w:rsidRPr="00DD30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2) обособленность – относительная изолированность, автономность организационных систем или их подсистем, проявляющаяся в разделении полномочий, формировании границ экономической, организационной, политической и хозяйственной самостоятельности предприятий, регионов, отраслей;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DD303E">
        <w:rPr>
          <w:rFonts w:ascii="Times New Roman" w:hAnsi="Times New Roman" w:cs="Times New Roman"/>
          <w:sz w:val="28"/>
          <w:szCs w:val="28"/>
        </w:rPr>
        <w:t>централизованность</w:t>
      </w:r>
      <w:proofErr w:type="spellEnd"/>
      <w:r w:rsidRPr="00DD303E">
        <w:rPr>
          <w:rFonts w:ascii="Times New Roman" w:hAnsi="Times New Roman" w:cs="Times New Roman"/>
          <w:sz w:val="28"/>
          <w:szCs w:val="28"/>
        </w:rPr>
        <w:t xml:space="preserve"> – управление из одного центра (руководитель, администрация, госорганы и т. д.);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4) адаптивность – возможность учета изменений внутренних и внешних условий, обеспечивающего эффективность и стабильность функционирования системы;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5) совместимость – согласованность подсистем и элементов системы, обеспечивающая их </w:t>
      </w:r>
      <w:proofErr w:type="spellStart"/>
      <w:r w:rsidRPr="00DD303E">
        <w:rPr>
          <w:rFonts w:ascii="Times New Roman" w:hAnsi="Times New Roman" w:cs="Times New Roman"/>
          <w:sz w:val="28"/>
          <w:szCs w:val="28"/>
        </w:rPr>
        <w:t>взаимоприспособляемость</w:t>
      </w:r>
      <w:proofErr w:type="spellEnd"/>
      <w:r w:rsidRPr="00DD303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DD303E">
        <w:rPr>
          <w:rFonts w:ascii="Times New Roman" w:hAnsi="Times New Roman" w:cs="Times New Roman"/>
          <w:sz w:val="28"/>
          <w:szCs w:val="28"/>
        </w:rPr>
        <w:t>взаимоадаптивность</w:t>
      </w:r>
      <w:proofErr w:type="spellEnd"/>
      <w:r w:rsidRPr="00DD303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DD303E">
        <w:rPr>
          <w:rFonts w:ascii="Times New Roman" w:hAnsi="Times New Roman" w:cs="Times New Roman"/>
          <w:sz w:val="28"/>
          <w:szCs w:val="28"/>
        </w:rPr>
        <w:t>эмерджентность</w:t>
      </w:r>
      <w:proofErr w:type="spellEnd"/>
      <w:r w:rsidRPr="00DD303E">
        <w:rPr>
          <w:rFonts w:ascii="Times New Roman" w:hAnsi="Times New Roman" w:cs="Times New Roman"/>
          <w:sz w:val="28"/>
          <w:szCs w:val="28"/>
        </w:rPr>
        <w:t xml:space="preserve"> – несоответствие целевых функций отдельных подсистем с целевой функцией всей системы. Так, целевая функция хозяйственного комплекса страны может не совпадать с целевой функцией отдельной отрасли, а целевая функция отдельного работника – с интересами организации;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r w:rsidRPr="00DD303E">
        <w:rPr>
          <w:rFonts w:ascii="Times New Roman" w:hAnsi="Times New Roman" w:cs="Times New Roman"/>
          <w:sz w:val="28"/>
          <w:szCs w:val="28"/>
        </w:rPr>
        <w:t>мультипликативность</w:t>
      </w:r>
      <w:proofErr w:type="spellEnd"/>
      <w:r w:rsidRPr="00DD303E">
        <w:rPr>
          <w:rFonts w:ascii="Times New Roman" w:hAnsi="Times New Roman" w:cs="Times New Roman"/>
          <w:sz w:val="28"/>
          <w:szCs w:val="28"/>
        </w:rPr>
        <w:t xml:space="preserve"> – возможность умножения положительных или отрицательных эффектов системы;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8) неопределенность данных – отсутствие точных значений характеристик процесса управления;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9) многокритериальность – возможность оценки деятельности организационной системы управления по нескольким показателям;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10) стохастичность – отсутствие однозначных результатов реализации управленческих решений;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11) наличие фактора времени – старение добываемой информации, связанное с сокращением процедуры обоснования и принятия управленческих решений.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Государственное управление в области использования и охраны земель осуществляют как представительные, так и исполнительные органы власти, между которыми возможны два типа отношений: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lastRenderedPageBreak/>
        <w:t xml:space="preserve">– жесткое подчинение, которое характерно для министерств, ведомств, комитетов и инспекций. При жестком подчинении нижестоящий орган полностью подчинен вышестоящему;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03E">
        <w:rPr>
          <w:rFonts w:ascii="Times New Roman" w:hAnsi="Times New Roman" w:cs="Times New Roman"/>
          <w:sz w:val="28"/>
          <w:szCs w:val="28"/>
        </w:rPr>
        <w:t xml:space="preserve">– функциональное соответствие, когда органы выполняют аналогичные функции, отличающиеся только степенью детализации и полнотой функций. Вышестоящий орган вырабатывает общие правила и ограничения для нижестоящих. </w:t>
      </w:r>
    </w:p>
    <w:p w:rsidR="006D2609" w:rsidRDefault="007E34C1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D303E">
        <w:rPr>
          <w:rFonts w:ascii="Times New Roman" w:hAnsi="Times New Roman" w:cs="Times New Roman"/>
          <w:sz w:val="28"/>
          <w:szCs w:val="28"/>
        </w:rPr>
        <w:t>Управление земельными ресурсами осуществляют на основе определенных принципов, методов и средств целенаправленного воздействия на субъекты прав на земельные участки. Как было отмечено ранее, выделяются управляющая и управляемая системы с наличием определенного</w:t>
      </w:r>
      <w:r w:rsidR="00A32CF2"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 вида связей: прямых и обратных, директивных, стимулирующих, регулирующих. Сложились определенные организационно-структурные блоки системы управления, позволяющие распределить функции управления между различными органами управления (по горизонтали и вертикали), а также между субъектами с различными экономическими</w:t>
      </w:r>
      <w:r w:rsidR="006D2609">
        <w:rPr>
          <w:rFonts w:ascii="Times New Roman" w:hAnsi="Times New Roman" w:cs="Times New Roman"/>
          <w:sz w:val="28"/>
          <w:szCs w:val="28"/>
          <w:lang w:val="kk-KZ"/>
        </w:rPr>
        <w:t xml:space="preserve"> формами хозяйствования</w:t>
      </w:r>
      <w:r w:rsidR="00A32CF2"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6D2609" w:rsidRDefault="00A32CF2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Каждый вышестоящий уровень координирует действия нижестоящих, а каждый иерархический уровень управления содержит все функции организации субъекта управления. Субъект управления на вышестоящем уровне осуществляет координирование организации субъектов управления на нижестоящих уровнях, исходя из принятых для конкретного административно-территориального образования критериев эффективности рационального использования земель. Это обеспечивает необходимые условия для своевременного выполнения федерального законодательства и приведение в соответствие уровней организации управляющей и управляемой систем. </w:t>
      </w:r>
    </w:p>
    <w:p w:rsidR="001377ED" w:rsidRDefault="00A32CF2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Система органов государственного управления земельными ресурсами образует единую управленческую вертикаль и находится во взаимодействии с государственными органами исполнительной власти: на </w:t>
      </w:r>
      <w:r w:rsidR="006D2609">
        <w:rPr>
          <w:rFonts w:ascii="Times New Roman" w:hAnsi="Times New Roman" w:cs="Times New Roman"/>
          <w:sz w:val="28"/>
          <w:szCs w:val="28"/>
          <w:lang w:val="kk-KZ"/>
        </w:rPr>
        <w:t>республиканском, областном, районном (городском)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 уровне. </w:t>
      </w:r>
    </w:p>
    <w:p w:rsidR="001377ED" w:rsidRDefault="00D12A49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В любом государстве в обязательном порядке функционирует исторически сложившаяся правовая система, включающая следующие виды источников права: правовой обычай, нормативный акт, судебный прецедент, договор, общие принципы, идеи и доктрины, религиозные обычаи и др. </w:t>
      </w:r>
    </w:p>
    <w:p w:rsidR="00DA5509" w:rsidRDefault="001377ED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Для РК</w:t>
      </w:r>
      <w:r w:rsidR="00D12A49"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 наиболее характерный способ правового регулирования – нормативный акт, что обусловливается масштабами, централизацией и многонациональностью государства, необходимостью обеспечить единообразие применения правовых норм. Под нормой права понимают общее (неперсонифицированное) правило поведения, обязательное для исполнения гражданами и должностными лицами, установленное уполномоченным на это органом. Норма права – это повеление, имеющее категорический характер, предписание, за которым стоит авторитет закона, государства. Нормативный акт не должен исчерпываться исполнением, он действует непрерывно и, как правило, рассчитан на неопределенное число случаев. В связи с </w:t>
      </w:r>
      <w:r w:rsidR="00D12A49" w:rsidRPr="00DD303E">
        <w:rPr>
          <w:rFonts w:ascii="Times New Roman" w:hAnsi="Times New Roman" w:cs="Times New Roman"/>
          <w:sz w:val="28"/>
          <w:szCs w:val="28"/>
          <w:lang w:val="kk-KZ"/>
        </w:rPr>
        <w:lastRenderedPageBreak/>
        <w:t>многообразием социально-экономических и природноэкологических условий нашей страны нормативные акты по вопросам земельных отношений и управления земельными ресурсами, как правило, принимают только по крупным общегосударственным проблемам, а решение конкретных за</w:t>
      </w:r>
      <w:r>
        <w:rPr>
          <w:rFonts w:ascii="Times New Roman" w:hAnsi="Times New Roman" w:cs="Times New Roman"/>
          <w:sz w:val="28"/>
          <w:szCs w:val="28"/>
          <w:lang w:val="kk-KZ"/>
        </w:rPr>
        <w:t>дач передают субъектам РК</w:t>
      </w:r>
      <w:r w:rsidR="00D12A49"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, которые относятся к их правотворческой компетенции. </w:t>
      </w:r>
    </w:p>
    <w:p w:rsidR="001377ED" w:rsidRDefault="00D12A49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Закон – это нормативный акт, принимаемый в особом порядке и направленный на регулирование наиболее важных общественных, в том числе и земельных, отношений. Закон всегда нормативен, т. е. в законе всегда содержатся юридические нормы – общие правила поведения, рассчитанные на неопределенное число случаев применения. Законы могут принимать только высшие представительные (законодательные) органы 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>РК и его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 субъекты либо всенародным голосованием – референдумом, проводимым в особом порядке. Этим обусловливается верховенство закона над остальными актами, которые не могу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>т противоречить закону. В РК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 законодательным органом является 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>Парламент РК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, состоящее из двух палат – 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>Мажилис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 и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 xml:space="preserve"> Сенат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>. Все законы и иные нормативные правовые акты находятся между собой в строго иерархической соподчиненности. Законы, принимаемые высшими представительными органами государственной власти, обладают наибольшей юридической силой по отношению ко всем остальным источникам права. Верховенство среди з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>аконов на всей территории РК принадлежит Конституции РК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>, наделенной высшей юридичес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>кой силой. Согласно Конституции РК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 все законы и иные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 xml:space="preserve"> правовые акты, принимаемые в РК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, не должны ей противоречить. </w:t>
      </w:r>
    </w:p>
    <w:p w:rsidR="001377ED" w:rsidRDefault="00D12A49" w:rsidP="00DD303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D303E">
        <w:rPr>
          <w:rFonts w:ascii="Times New Roman" w:hAnsi="Times New Roman" w:cs="Times New Roman"/>
          <w:sz w:val="28"/>
          <w:szCs w:val="28"/>
          <w:lang w:val="kk-KZ"/>
        </w:rPr>
        <w:t>В области регулирования земельных отношений и управления земельным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>и ресурсами нормы Конституции РК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 можно условно разбить на две большие группы: первая, непосредственно посвященная земельным отношениям и УЗР, и вторая, непосредственно участвующая в регулировании земельных отношений и УЗР. </w:t>
      </w:r>
    </w:p>
    <w:p w:rsidR="009B4D06" w:rsidRDefault="00D12A49" w:rsidP="009B4D0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Наряду с нормативными правовыми актами земельного законодательства к источникам земельного права относят также акты других отраслей законодательства, если они содержат правовые нормы, затрагивающие управление земельными ресурсами. В условиях 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 xml:space="preserve">РК 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основной источник земельного права, как и остальных отраслей права, – подзаконные нормативные акты. В них прежде 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>всего входят указы Президента РК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>, а такж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>е постановления Правительства РК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>, ведомственные акты, нормативные акты орган</w:t>
      </w:r>
      <w:r w:rsidR="001377ED">
        <w:rPr>
          <w:rFonts w:ascii="Times New Roman" w:hAnsi="Times New Roman" w:cs="Times New Roman"/>
          <w:sz w:val="28"/>
          <w:szCs w:val="28"/>
          <w:lang w:val="kk-KZ"/>
        </w:rPr>
        <w:t>изаций, акты субъектов РК</w:t>
      </w:r>
      <w:r w:rsidRPr="00DD303E">
        <w:rPr>
          <w:rFonts w:ascii="Times New Roman" w:hAnsi="Times New Roman" w:cs="Times New Roman"/>
          <w:sz w:val="28"/>
          <w:szCs w:val="28"/>
          <w:lang w:val="kk-KZ"/>
        </w:rPr>
        <w:t xml:space="preserve"> и органов местного самоуправления. </w:t>
      </w:r>
    </w:p>
    <w:p w:rsidR="009B4D06" w:rsidRDefault="009B4D06" w:rsidP="009B4D0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B4D06">
        <w:rPr>
          <w:rFonts w:ascii="Times New Roman" w:hAnsi="Times New Roman" w:cs="Times New Roman"/>
          <w:sz w:val="28"/>
          <w:szCs w:val="28"/>
        </w:rPr>
        <w:t>Высшей юридической силой обладает Конституция Республики Казахстан.</w:t>
      </w:r>
    </w:p>
    <w:p w:rsidR="009B4D06" w:rsidRDefault="009B4D06" w:rsidP="009B4D0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B4D06">
        <w:rPr>
          <w:rFonts w:ascii="Times New Roman" w:hAnsi="Times New Roman" w:cs="Times New Roman"/>
          <w:sz w:val="28"/>
          <w:szCs w:val="28"/>
        </w:rPr>
        <w:t>Соотношение юридической силы иных, кроме Конституции, нормативных правовых актов соответствует следующим нисходящим уровням:</w:t>
      </w:r>
    </w:p>
    <w:p w:rsidR="009B4D06" w:rsidRDefault="009B4D06" w:rsidP="009B4D0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B4D06">
        <w:rPr>
          <w:rFonts w:ascii="Times New Roman" w:hAnsi="Times New Roman" w:cs="Times New Roman"/>
          <w:sz w:val="28"/>
          <w:szCs w:val="28"/>
        </w:rPr>
        <w:t>1) законы, вносящие изменения и дополнения в Конституцию;</w:t>
      </w:r>
    </w:p>
    <w:p w:rsidR="009B4D06" w:rsidRDefault="009B4D06" w:rsidP="009B4D0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B4D06">
        <w:rPr>
          <w:rFonts w:ascii="Times New Roman" w:hAnsi="Times New Roman" w:cs="Times New Roman"/>
          <w:sz w:val="28"/>
          <w:szCs w:val="28"/>
        </w:rPr>
        <w:t>2) конституционные законы Республики Казахстан и указы Президента Республики Казахстан, имеющие силу конституционного закона;</w:t>
      </w:r>
    </w:p>
    <w:p w:rsidR="009B4D06" w:rsidRPr="009B4D06" w:rsidRDefault="009B4D06" w:rsidP="009B4D0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Pr="009B4D06">
        <w:rPr>
          <w:rFonts w:ascii="Times New Roman" w:hAnsi="Times New Roman" w:cs="Times New Roman"/>
          <w:sz w:val="28"/>
          <w:szCs w:val="28"/>
        </w:rPr>
        <w:t>) кодексы Республики Казахстан;</w:t>
      </w:r>
    </w:p>
    <w:p w:rsidR="009B4D06" w:rsidRPr="009B4D06" w:rsidRDefault="009B4D06" w:rsidP="009B4D0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9B4D06">
        <w:rPr>
          <w:rFonts w:ascii="Times New Roman" w:hAnsi="Times New Roman" w:cs="Times New Roman"/>
          <w:sz w:val="28"/>
          <w:szCs w:val="28"/>
        </w:rPr>
        <w:t>) законы Республики Казахстан, а также указы Президента Республики Казахстан, имеющие силу закона;</w:t>
      </w:r>
    </w:p>
    <w:p w:rsidR="009B4D06" w:rsidRPr="009B4D06" w:rsidRDefault="009B4D06" w:rsidP="009B4D0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9B4D06">
        <w:rPr>
          <w:rFonts w:ascii="Times New Roman" w:hAnsi="Times New Roman" w:cs="Times New Roman"/>
          <w:sz w:val="28"/>
          <w:szCs w:val="28"/>
        </w:rPr>
        <w:t>)нормативные постановления Парламента Республики Казахстан и его палат;</w:t>
      </w:r>
    </w:p>
    <w:p w:rsidR="009B4D06" w:rsidRPr="009B4D06" w:rsidRDefault="009B4D06" w:rsidP="009B4D0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9B4D06">
        <w:rPr>
          <w:rFonts w:ascii="Times New Roman" w:hAnsi="Times New Roman" w:cs="Times New Roman"/>
          <w:sz w:val="28"/>
          <w:szCs w:val="28"/>
        </w:rPr>
        <w:t>) нормативные указы Президента Республики Казахстан;</w:t>
      </w:r>
    </w:p>
    <w:p w:rsidR="009B4D06" w:rsidRPr="009B4D06" w:rsidRDefault="009B4D06" w:rsidP="009B4D0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9B4D06">
        <w:rPr>
          <w:rFonts w:ascii="Times New Roman" w:hAnsi="Times New Roman" w:cs="Times New Roman"/>
          <w:sz w:val="28"/>
          <w:szCs w:val="28"/>
        </w:rPr>
        <w:t>) нормативные постановления Правительства Республики Казахстан;</w:t>
      </w:r>
    </w:p>
    <w:p w:rsidR="009B4D06" w:rsidRDefault="009B4D06" w:rsidP="009B4D0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9B4D06">
        <w:rPr>
          <w:rFonts w:ascii="Times New Roman" w:hAnsi="Times New Roman" w:cs="Times New Roman"/>
          <w:sz w:val="28"/>
          <w:szCs w:val="28"/>
        </w:rPr>
        <w:t>) нормативные правовые приказы министров Республики Казахстан и иных руководителей центральных государственных органов, нормативные правовые постановления центральных государственных органов и нормативные постановления Центральной избирательной комиссии Республики Казахстан;</w:t>
      </w:r>
    </w:p>
    <w:p w:rsidR="009B4D06" w:rsidRPr="009B4D06" w:rsidRDefault="009B4D06" w:rsidP="009B4D0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Pr="009B4D06">
        <w:rPr>
          <w:rFonts w:ascii="Times New Roman" w:hAnsi="Times New Roman" w:cs="Times New Roman"/>
          <w:sz w:val="28"/>
          <w:szCs w:val="28"/>
        </w:rPr>
        <w:t xml:space="preserve">) нормативные правовые решения </w:t>
      </w:r>
      <w:proofErr w:type="spellStart"/>
      <w:r w:rsidRPr="009B4D06">
        <w:rPr>
          <w:rFonts w:ascii="Times New Roman" w:hAnsi="Times New Roman" w:cs="Times New Roman"/>
          <w:sz w:val="28"/>
          <w:szCs w:val="28"/>
        </w:rPr>
        <w:t>маслихатов</w:t>
      </w:r>
      <w:proofErr w:type="spellEnd"/>
      <w:r w:rsidRPr="009B4D06">
        <w:rPr>
          <w:rFonts w:ascii="Times New Roman" w:hAnsi="Times New Roman" w:cs="Times New Roman"/>
          <w:sz w:val="28"/>
          <w:szCs w:val="28"/>
        </w:rPr>
        <w:t xml:space="preserve">, нормативные правовые постановления </w:t>
      </w:r>
      <w:proofErr w:type="spellStart"/>
      <w:r w:rsidRPr="009B4D06">
        <w:rPr>
          <w:rFonts w:ascii="Times New Roman" w:hAnsi="Times New Roman" w:cs="Times New Roman"/>
          <w:sz w:val="28"/>
          <w:szCs w:val="28"/>
        </w:rPr>
        <w:t>акиматов</w:t>
      </w:r>
      <w:proofErr w:type="spellEnd"/>
      <w:r w:rsidRPr="009B4D06">
        <w:rPr>
          <w:rFonts w:ascii="Times New Roman" w:hAnsi="Times New Roman" w:cs="Times New Roman"/>
          <w:sz w:val="28"/>
          <w:szCs w:val="28"/>
        </w:rPr>
        <w:t xml:space="preserve">, нормативные правовые решения </w:t>
      </w:r>
      <w:proofErr w:type="spellStart"/>
      <w:r w:rsidRPr="009B4D06">
        <w:rPr>
          <w:rFonts w:ascii="Times New Roman" w:hAnsi="Times New Roman" w:cs="Times New Roman"/>
          <w:sz w:val="28"/>
          <w:szCs w:val="28"/>
        </w:rPr>
        <w:t>акимов</w:t>
      </w:r>
      <w:proofErr w:type="spellEnd"/>
      <w:r w:rsidRPr="009B4D06">
        <w:rPr>
          <w:rFonts w:ascii="Times New Roman" w:hAnsi="Times New Roman" w:cs="Times New Roman"/>
          <w:sz w:val="28"/>
          <w:szCs w:val="28"/>
        </w:rPr>
        <w:t>.</w:t>
      </w:r>
      <w:bookmarkEnd w:id="0"/>
    </w:p>
    <w:sectPr w:rsidR="009B4D06" w:rsidRPr="009B4D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D3A"/>
    <w:rsid w:val="001377ED"/>
    <w:rsid w:val="00394997"/>
    <w:rsid w:val="006D2609"/>
    <w:rsid w:val="007B72D0"/>
    <w:rsid w:val="007E34C1"/>
    <w:rsid w:val="008E1D3A"/>
    <w:rsid w:val="009B4D06"/>
    <w:rsid w:val="00A32CF2"/>
    <w:rsid w:val="00D12A49"/>
    <w:rsid w:val="00D61ACD"/>
    <w:rsid w:val="00DA5509"/>
    <w:rsid w:val="00DD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2383C"/>
  <w15:chartTrackingRefBased/>
  <w15:docId w15:val="{583113B9-90D4-4140-AFA4-875465A74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4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B4D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3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1280</Words>
  <Characters>7297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8</cp:revision>
  <dcterms:created xsi:type="dcterms:W3CDTF">2020-05-21T06:30:00Z</dcterms:created>
  <dcterms:modified xsi:type="dcterms:W3CDTF">2020-05-21T07:05:00Z</dcterms:modified>
</cp:coreProperties>
</file>